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277" w:rsidRDefault="00DE6277" w:rsidP="008C4AC9">
      <w:pPr>
        <w:spacing w:before="100" w:beforeAutospacing="1" w:after="100" w:afterAutospacing="1" w:line="420" w:lineRule="atLeast"/>
        <w:outlineLvl w:val="2"/>
        <w:rPr>
          <w:rFonts w:eastAsia="Times New Roman" w:cs="Arial"/>
          <w:b/>
          <w:bCs/>
          <w:color w:val="113E6A"/>
          <w:sz w:val="28"/>
          <w:szCs w:val="28"/>
        </w:rPr>
      </w:pPr>
      <w:bookmarkStart w:id="0" w:name="_GoBack"/>
      <w:bookmarkEnd w:id="0"/>
    </w:p>
    <w:p w:rsidR="008C4AC9" w:rsidRPr="00DE6277" w:rsidRDefault="008C4AC9" w:rsidP="008C4AC9">
      <w:pPr>
        <w:spacing w:before="100" w:beforeAutospacing="1" w:after="100" w:afterAutospacing="1" w:line="420" w:lineRule="atLeast"/>
        <w:outlineLvl w:val="2"/>
        <w:rPr>
          <w:rFonts w:eastAsia="Times New Roman" w:cs="Arial"/>
          <w:b/>
          <w:bCs/>
          <w:color w:val="17365D" w:themeColor="text2" w:themeShade="BF"/>
          <w:sz w:val="40"/>
          <w:szCs w:val="40"/>
        </w:rPr>
      </w:pPr>
      <w:r w:rsidRPr="00DE6277">
        <w:rPr>
          <w:rFonts w:eastAsia="Times New Roman" w:cs="Arial"/>
          <w:b/>
          <w:bCs/>
          <w:color w:val="17365D" w:themeColor="text2" w:themeShade="BF"/>
          <w:sz w:val="40"/>
          <w:szCs w:val="40"/>
        </w:rPr>
        <w:t xml:space="preserve">Basic Responsibilities of the Treasurer </w:t>
      </w:r>
    </w:p>
    <w:p w:rsidR="008C4AC9" w:rsidRPr="008C4AC9" w:rsidRDefault="008C4AC9" w:rsidP="008C4AC9">
      <w:pPr>
        <w:spacing w:after="225" w:line="285" w:lineRule="atLeast"/>
        <w:rPr>
          <w:rFonts w:eastAsia="Times New Roman" w:cs="Times New Roman"/>
          <w:color w:val="2B2B2B"/>
        </w:rPr>
      </w:pPr>
      <w:r w:rsidRPr="008C4AC9">
        <w:rPr>
          <w:rFonts w:eastAsia="Times New Roman" w:cs="Times New Roman"/>
          <w:color w:val="2B2B2B"/>
        </w:rPr>
        <w:t>The incoming treasurer should discuss with the former treasurer the status of current fundraising activities, what money is available to be spent versus what is owed, and the bylaws as they relate to the treasurer’s responsibilities.</w:t>
      </w:r>
      <w:r w:rsidRPr="008C4AC9">
        <w:rPr>
          <w:rFonts w:eastAsia="Times New Roman" w:cs="Times New Roman"/>
          <w:color w:val="2B2B2B"/>
        </w:rPr>
        <w:br/>
      </w:r>
      <w:r w:rsidRPr="008C4AC9">
        <w:rPr>
          <w:rFonts w:eastAsia="Times New Roman" w:cs="Times New Roman"/>
          <w:color w:val="2B2B2B"/>
        </w:rPr>
        <w:br/>
      </w:r>
      <w:r w:rsidRPr="008C4AC9">
        <w:rPr>
          <w:rFonts w:eastAsia="Times New Roman" w:cs="Times New Roman"/>
          <w:b/>
          <w:bCs/>
          <w:color w:val="2B2B2B"/>
        </w:rPr>
        <w:t>The treasurer is responsible for:</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Ensuring that the PTA’s financial records are reviewed according to the bylaws before assuming </w:t>
      </w:r>
      <w:r w:rsidR="008C0967">
        <w:rPr>
          <w:rFonts w:eastAsia="Times New Roman" w:cs="Times New Roman"/>
          <w:color w:val="2B2B2B"/>
        </w:rPr>
        <w:t xml:space="preserve">his or her </w:t>
      </w:r>
      <w:r w:rsidRPr="008C4AC9">
        <w:rPr>
          <w:rFonts w:eastAsia="Times New Roman" w:cs="Times New Roman"/>
          <w:color w:val="2B2B2B"/>
        </w:rPr>
        <w:t xml:space="preserve">duties; </w:t>
      </w:r>
    </w:p>
    <w:p w:rsidR="008C4AC9" w:rsidRPr="008C0967" w:rsidRDefault="008C0967" w:rsidP="008C4AC9">
      <w:pPr>
        <w:numPr>
          <w:ilvl w:val="0"/>
          <w:numId w:val="1"/>
        </w:numPr>
        <w:spacing w:after="120" w:line="285" w:lineRule="atLeast"/>
        <w:ind w:left="855"/>
        <w:rPr>
          <w:rFonts w:eastAsia="Times New Roman" w:cs="Times New Roman"/>
          <w:color w:val="2B2B2B"/>
        </w:rPr>
      </w:pPr>
      <w:r w:rsidRPr="008C0967">
        <w:rPr>
          <w:rFonts w:eastAsia="Times New Roman" w:cs="Times New Roman"/>
          <w:color w:val="2B2B2B"/>
        </w:rPr>
        <w:t>Ensuring</w:t>
      </w:r>
      <w:r w:rsidR="008C4AC9" w:rsidRPr="008C0967">
        <w:rPr>
          <w:rFonts w:eastAsia="Times New Roman" w:cs="Times New Roman"/>
          <w:color w:val="2B2B2B"/>
        </w:rPr>
        <w:t xml:space="preserve"> three authorized signatures</w:t>
      </w:r>
      <w:r w:rsidRPr="008C0967">
        <w:rPr>
          <w:rFonts w:eastAsia="Times New Roman" w:cs="Times New Roman"/>
          <w:color w:val="2B2B2B"/>
        </w:rPr>
        <w:t xml:space="preserve"> are</w:t>
      </w:r>
      <w:r w:rsidR="008C4AC9" w:rsidRPr="008C0967">
        <w:rPr>
          <w:rFonts w:eastAsia="Times New Roman" w:cs="Times New Roman"/>
          <w:color w:val="2B2B2B"/>
        </w:rPr>
        <w:t xml:space="preserve"> on file at the bank for financial transactions; </w:t>
      </w:r>
      <w:r w:rsidRPr="008C0967">
        <w:rPr>
          <w:rFonts w:eastAsia="Times New Roman" w:cs="Times New Roman"/>
          <w:color w:val="2B2B2B"/>
        </w:rPr>
        <w:t xml:space="preserve">these signatures are usually that of the current </w:t>
      </w:r>
      <w:r>
        <w:rPr>
          <w:rFonts w:eastAsia="Times New Roman" w:cs="Times New Roman"/>
          <w:color w:val="2B2B2B"/>
        </w:rPr>
        <w:t>president and</w:t>
      </w:r>
      <w:r w:rsidR="008C4AC9" w:rsidRPr="008C0967">
        <w:rPr>
          <w:rFonts w:eastAsia="Times New Roman" w:cs="Times New Roman"/>
          <w:color w:val="2B2B2B"/>
        </w:rPr>
        <w:t xml:space="preserve"> treasurer, and one other officer as an alternate (no two check signers should be from the same household); </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Obtaining two authorized signatures on every check; </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Collecting all money from persons delegated to collect or to raise funds during a local unit activity, and providing a written receipt for those funds; </w:t>
      </w:r>
    </w:p>
    <w:p w:rsidR="008C4AC9" w:rsidRPr="008C4AC9" w:rsidRDefault="008C0967" w:rsidP="008C4AC9">
      <w:pPr>
        <w:numPr>
          <w:ilvl w:val="0"/>
          <w:numId w:val="1"/>
        </w:numPr>
        <w:spacing w:after="120" w:line="285" w:lineRule="atLeast"/>
        <w:ind w:left="855"/>
        <w:rPr>
          <w:rFonts w:eastAsia="Times New Roman" w:cs="Times New Roman"/>
          <w:color w:val="2B2B2B"/>
        </w:rPr>
      </w:pPr>
      <w:r>
        <w:rPr>
          <w:rFonts w:eastAsia="Times New Roman" w:cs="Times New Roman"/>
          <w:color w:val="2B2B2B"/>
        </w:rPr>
        <w:t xml:space="preserve">Promptly depositing </w:t>
      </w:r>
      <w:r w:rsidR="008C4AC9" w:rsidRPr="008C4AC9">
        <w:rPr>
          <w:rFonts w:eastAsia="Times New Roman" w:cs="Times New Roman"/>
          <w:color w:val="2B2B2B"/>
        </w:rPr>
        <w:t xml:space="preserve">all money in the name of the local unit in a bank account approved by the board; </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Maintaining an accurate record of all receipts and disbursements; </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Obtaining authorization from the board before writing a check or spending money; </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Remitting, by check, all authorized bills and statements as prescribed in the bylaws; </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Submitting a written financial statement at each board meeting and at each general membership meeting; </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Chairing the Budget Committee and preparing the annual budget as prescribed in bylaws; </w:t>
      </w:r>
    </w:p>
    <w:p w:rsid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Reporting income and expenses as compared with the budget; </w:t>
      </w:r>
    </w:p>
    <w:p w:rsidR="008C0967" w:rsidRPr="008C4AC9" w:rsidRDefault="008C0967" w:rsidP="008C4AC9">
      <w:pPr>
        <w:numPr>
          <w:ilvl w:val="0"/>
          <w:numId w:val="1"/>
        </w:numPr>
        <w:spacing w:after="120" w:line="285" w:lineRule="atLeast"/>
        <w:ind w:left="855"/>
        <w:rPr>
          <w:rFonts w:eastAsia="Times New Roman" w:cs="Times New Roman"/>
          <w:color w:val="2B2B2B"/>
        </w:rPr>
      </w:pPr>
      <w:r>
        <w:rPr>
          <w:rFonts w:eastAsia="Times New Roman" w:cs="Times New Roman"/>
          <w:color w:val="2B2B2B"/>
        </w:rPr>
        <w:t xml:space="preserve">Ensuring an audit, financial review or compilation is done in accordance with the bylaws, state PTA requirements, and the PTA’s business practice; </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Preparing an annual report to be used to review PTA financial records; and </w:t>
      </w:r>
    </w:p>
    <w:p w:rsidR="008C4AC9" w:rsidRPr="008C4AC9" w:rsidRDefault="008C4AC9" w:rsidP="008C4AC9">
      <w:pPr>
        <w:numPr>
          <w:ilvl w:val="0"/>
          <w:numId w:val="1"/>
        </w:numPr>
        <w:spacing w:after="120" w:line="285" w:lineRule="atLeast"/>
        <w:ind w:left="855"/>
        <w:rPr>
          <w:rFonts w:eastAsia="Times New Roman" w:cs="Times New Roman"/>
          <w:color w:val="2B2B2B"/>
        </w:rPr>
      </w:pPr>
      <w:r w:rsidRPr="008C4AC9">
        <w:rPr>
          <w:rFonts w:eastAsia="Times New Roman" w:cs="Times New Roman"/>
          <w:color w:val="2B2B2B"/>
        </w:rPr>
        <w:t xml:space="preserve">If your unit is a 501(c)(3), ensure the filing of the PTA’s 990 report to the IRS. </w:t>
      </w:r>
    </w:p>
    <w:p w:rsidR="008C4AC9" w:rsidRPr="008C4AC9" w:rsidRDefault="008C4AC9" w:rsidP="008C4AC9">
      <w:pPr>
        <w:spacing w:line="285" w:lineRule="atLeast"/>
        <w:rPr>
          <w:rFonts w:eastAsia="Times New Roman" w:cs="Times New Roman"/>
          <w:color w:val="2B2B2B"/>
        </w:rPr>
      </w:pPr>
      <w:r w:rsidRPr="008C4AC9">
        <w:rPr>
          <w:rFonts w:eastAsia="Times New Roman" w:cs="Times New Roman"/>
          <w:color w:val="2B2B2B"/>
        </w:rPr>
        <w:br/>
        <w:t xml:space="preserve">The </w:t>
      </w:r>
      <w:hyperlink r:id="rId7" w:history="1">
        <w:r w:rsidRPr="008C4AC9">
          <w:rPr>
            <w:rFonts w:eastAsia="Times New Roman" w:cs="Times New Roman"/>
            <w:color w:val="113E6A"/>
          </w:rPr>
          <w:t>PTA Finance Quick Reference Guide</w:t>
        </w:r>
      </w:hyperlink>
      <w:r w:rsidRPr="008C4AC9">
        <w:rPr>
          <w:rFonts w:eastAsia="Times New Roman" w:cs="Times New Roman"/>
          <w:color w:val="2B2B2B"/>
        </w:rPr>
        <w:t xml:space="preserve"> will help orient the treasurer to his or her main areas of responsibility.</w:t>
      </w:r>
    </w:p>
    <w:p w:rsidR="00153A8E" w:rsidRDefault="00153A8E">
      <w:r>
        <w:br w:type="page"/>
      </w:r>
    </w:p>
    <w:p w:rsidR="00DE6277" w:rsidRPr="008C4AC9" w:rsidRDefault="00DE6277">
      <w:r>
        <w:rPr>
          <w:noProof/>
        </w:rPr>
        <w:lastRenderedPageBreak/>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5943600" cy="7691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SKit_Treasurer_Draw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anchor>
        </w:drawing>
      </w:r>
    </w:p>
    <w:sectPr w:rsidR="00DE6277" w:rsidRPr="008C4A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A3E" w:rsidRDefault="00450A3E" w:rsidP="00DE6277">
      <w:pPr>
        <w:spacing w:after="0" w:line="240" w:lineRule="auto"/>
      </w:pPr>
      <w:r>
        <w:separator/>
      </w:r>
    </w:p>
  </w:endnote>
  <w:endnote w:type="continuationSeparator" w:id="0">
    <w:p w:rsidR="00450A3E" w:rsidRDefault="00450A3E" w:rsidP="00DE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A3E" w:rsidRDefault="00450A3E" w:rsidP="00DE6277">
      <w:pPr>
        <w:spacing w:after="0" w:line="240" w:lineRule="auto"/>
      </w:pPr>
      <w:r>
        <w:separator/>
      </w:r>
    </w:p>
  </w:footnote>
  <w:footnote w:type="continuationSeparator" w:id="0">
    <w:p w:rsidR="00450A3E" w:rsidRDefault="00450A3E" w:rsidP="00DE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277" w:rsidRDefault="00DE6277">
    <w:pPr>
      <w:pStyle w:val="Header"/>
    </w:pPr>
    <w:r>
      <w:rPr>
        <w:noProof/>
      </w:rPr>
      <w:drawing>
        <wp:anchor distT="0" distB="0" distL="114300" distR="114300" simplePos="0" relativeHeight="251659264" behindDoc="1" locked="1" layoutInCell="1" allowOverlap="1" wp14:anchorId="08CFFF07" wp14:editId="2E777587">
          <wp:simplePos x="0" y="0"/>
          <wp:positionH relativeFrom="column">
            <wp:posOffset>-922020</wp:posOffset>
          </wp:positionH>
          <wp:positionV relativeFrom="page">
            <wp:posOffset>1905</wp:posOffset>
          </wp:positionV>
          <wp:extent cx="7772400" cy="10064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34C7"/>
    <w:multiLevelType w:val="multilevel"/>
    <w:tmpl w:val="C5AE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C9"/>
    <w:rsid w:val="000B493D"/>
    <w:rsid w:val="00153A8E"/>
    <w:rsid w:val="00450A3E"/>
    <w:rsid w:val="008C0967"/>
    <w:rsid w:val="008C4AC9"/>
    <w:rsid w:val="00941F9E"/>
    <w:rsid w:val="00B0049C"/>
    <w:rsid w:val="00BC1975"/>
    <w:rsid w:val="00DE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FB151-3F20-4C65-89CD-BC8F44EF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C4AC9"/>
    <w:pPr>
      <w:spacing w:before="100" w:beforeAutospacing="1" w:after="100" w:afterAutospacing="1" w:line="330" w:lineRule="atLeast"/>
      <w:outlineLvl w:val="3"/>
    </w:pPr>
    <w:rPr>
      <w:rFonts w:ascii="Lato" w:eastAsia="Times New Roman" w:hAnsi="Lato" w:cs="Times New Roman"/>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4AC9"/>
    <w:rPr>
      <w:rFonts w:ascii="Lato" w:eastAsia="Times New Roman" w:hAnsi="Lato" w:cs="Times New Roman"/>
      <w:b/>
      <w:bCs/>
      <w:color w:val="333333"/>
      <w:sz w:val="24"/>
      <w:szCs w:val="24"/>
    </w:rPr>
  </w:style>
  <w:style w:type="character" w:styleId="Hyperlink">
    <w:name w:val="Hyperlink"/>
    <w:basedOn w:val="DefaultParagraphFont"/>
    <w:uiPriority w:val="99"/>
    <w:semiHidden/>
    <w:unhideWhenUsed/>
    <w:rsid w:val="008C4AC9"/>
    <w:rPr>
      <w:strike w:val="0"/>
      <w:dstrike w:val="0"/>
      <w:color w:val="113E6A"/>
      <w:u w:val="none"/>
      <w:effect w:val="none"/>
    </w:rPr>
  </w:style>
  <w:style w:type="character" w:styleId="Strong">
    <w:name w:val="Strong"/>
    <w:basedOn w:val="DefaultParagraphFont"/>
    <w:uiPriority w:val="22"/>
    <w:qFormat/>
    <w:rsid w:val="008C4AC9"/>
    <w:rPr>
      <w:b/>
      <w:bCs/>
    </w:rPr>
  </w:style>
  <w:style w:type="paragraph" w:styleId="NormalWeb">
    <w:name w:val="Normal (Web)"/>
    <w:basedOn w:val="Normal"/>
    <w:uiPriority w:val="99"/>
    <w:semiHidden/>
    <w:unhideWhenUsed/>
    <w:rsid w:val="008C4AC9"/>
    <w:pPr>
      <w:spacing w:after="225" w:line="285" w:lineRule="atLeast"/>
    </w:pPr>
    <w:rPr>
      <w:rFonts w:ascii="Lato" w:eastAsia="Times New Roman" w:hAnsi="Lato" w:cs="Times New Roman"/>
      <w:color w:val="2B2B2B"/>
      <w:sz w:val="21"/>
      <w:szCs w:val="21"/>
    </w:rPr>
  </w:style>
  <w:style w:type="paragraph" w:styleId="BalloonText">
    <w:name w:val="Balloon Text"/>
    <w:basedOn w:val="Normal"/>
    <w:link w:val="BalloonTextChar"/>
    <w:uiPriority w:val="99"/>
    <w:semiHidden/>
    <w:unhideWhenUsed/>
    <w:rsid w:val="0015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8E"/>
    <w:rPr>
      <w:rFonts w:ascii="Tahoma" w:hAnsi="Tahoma" w:cs="Tahoma"/>
      <w:sz w:val="16"/>
      <w:szCs w:val="16"/>
    </w:rPr>
  </w:style>
  <w:style w:type="paragraph" w:styleId="Header">
    <w:name w:val="header"/>
    <w:basedOn w:val="Normal"/>
    <w:link w:val="HeaderChar"/>
    <w:uiPriority w:val="99"/>
    <w:unhideWhenUsed/>
    <w:rsid w:val="00DE6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277"/>
  </w:style>
  <w:style w:type="paragraph" w:styleId="Footer">
    <w:name w:val="footer"/>
    <w:basedOn w:val="Normal"/>
    <w:link w:val="FooterChar"/>
    <w:uiPriority w:val="99"/>
    <w:unhideWhenUsed/>
    <w:rsid w:val="00DE6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658346">
      <w:bodyDiv w:val="1"/>
      <w:marLeft w:val="0"/>
      <w:marRight w:val="0"/>
      <w:marTop w:val="0"/>
      <w:marBottom w:val="0"/>
      <w:divBdr>
        <w:top w:val="none" w:sz="0" w:space="0" w:color="auto"/>
        <w:left w:val="none" w:sz="0" w:space="0" w:color="auto"/>
        <w:bottom w:val="none" w:sz="0" w:space="0" w:color="auto"/>
        <w:right w:val="none" w:sz="0" w:space="0" w:color="auto"/>
      </w:divBdr>
      <w:divsChild>
        <w:div w:id="123813819">
          <w:marLeft w:val="0"/>
          <w:marRight w:val="0"/>
          <w:marTop w:val="0"/>
          <w:marBottom w:val="0"/>
          <w:divBdr>
            <w:top w:val="none" w:sz="0" w:space="0" w:color="auto"/>
            <w:left w:val="none" w:sz="0" w:space="0" w:color="auto"/>
            <w:bottom w:val="none" w:sz="0" w:space="0" w:color="auto"/>
            <w:right w:val="none" w:sz="0" w:space="0" w:color="auto"/>
          </w:divBdr>
          <w:divsChild>
            <w:div w:id="1978490553">
              <w:marLeft w:val="0"/>
              <w:marRight w:val="0"/>
              <w:marTop w:val="0"/>
              <w:marBottom w:val="0"/>
              <w:divBdr>
                <w:top w:val="none" w:sz="0" w:space="0" w:color="auto"/>
                <w:left w:val="none" w:sz="0" w:space="0" w:color="auto"/>
                <w:bottom w:val="none" w:sz="0" w:space="0" w:color="auto"/>
                <w:right w:val="none" w:sz="0" w:space="0" w:color="auto"/>
              </w:divBdr>
              <w:divsChild>
                <w:div w:id="1077945092">
                  <w:marLeft w:val="0"/>
                  <w:marRight w:val="0"/>
                  <w:marTop w:val="0"/>
                  <w:marBottom w:val="0"/>
                  <w:divBdr>
                    <w:top w:val="single" w:sz="2" w:space="0" w:color="54B947"/>
                    <w:left w:val="single" w:sz="48" w:space="0" w:color="54B947"/>
                    <w:bottom w:val="single" w:sz="2" w:space="31" w:color="54B947"/>
                    <w:right w:val="single" w:sz="48" w:space="0" w:color="54B947"/>
                  </w:divBdr>
                  <w:divsChild>
                    <w:div w:id="1066537793">
                      <w:marLeft w:val="555"/>
                      <w:marRight w:val="0"/>
                      <w:marTop w:val="0"/>
                      <w:marBottom w:val="0"/>
                      <w:divBdr>
                        <w:top w:val="none" w:sz="0" w:space="0" w:color="auto"/>
                        <w:left w:val="none" w:sz="0" w:space="0" w:color="auto"/>
                        <w:bottom w:val="none" w:sz="0" w:space="0" w:color="auto"/>
                        <w:right w:val="none" w:sz="0" w:space="0" w:color="auto"/>
                      </w:divBdr>
                      <w:divsChild>
                        <w:div w:id="11446612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ptakit.org/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Jonathan Baker</cp:lastModifiedBy>
  <cp:revision>2</cp:revision>
  <dcterms:created xsi:type="dcterms:W3CDTF">2018-10-15T17:34:00Z</dcterms:created>
  <dcterms:modified xsi:type="dcterms:W3CDTF">2018-10-15T17:34:00Z</dcterms:modified>
</cp:coreProperties>
</file>